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742BA0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7F2997">
        <w:rPr>
          <w:rFonts w:ascii="Times New Roman" w:hAnsi="Times New Roman" w:cs="Times New Roman"/>
          <w:sz w:val="24"/>
          <w:szCs w:val="24"/>
          <w:lang w:val="sr-Cyrl-CS"/>
        </w:rPr>
        <w:t>23.10.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BB53F9">
        <w:rPr>
          <w:rFonts w:ascii="Times New Roman" w:hAnsi="Times New Roman" w:cs="Times New Roman"/>
          <w:sz w:val="24"/>
          <w:szCs w:val="24"/>
        </w:rPr>
        <w:t>2</w:t>
      </w:r>
      <w:r w:rsidR="00E36C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C61CC7" w:rsidRPr="00C61CC7" w:rsidRDefault="00C61CC7" w:rsidP="00645EA9">
      <w:pPr>
        <w:rPr>
          <w:rFonts w:ascii="Times New Roman" w:hAnsi="Times New Roman" w:cs="Times New Roman"/>
          <w:sz w:val="24"/>
          <w:szCs w:val="24"/>
        </w:rPr>
      </w:pPr>
    </w:p>
    <w:p w:rsidR="00EF1AF8" w:rsidRDefault="00BB247A" w:rsidP="0054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42.</w:t>
      </w:r>
      <w:proofErr w:type="gram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буџетском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54/2009, 73/2010, 101/2010, 101/2011, 93/2012, 62/2013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142/2014, 68/2015-</w:t>
      </w:r>
      <w:proofErr w:type="spellStart"/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др.закон</w:t>
      </w:r>
      <w:proofErr w:type="spellEnd"/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103/2015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99/2016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113/2017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95/2018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31/2019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72/2019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149/2020</w:t>
      </w:r>
      <w:r w:rsidR="00D01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3327" w:rsidRPr="00FC64CC">
        <w:rPr>
          <w:rFonts w:ascii="Times New Roman" w:hAnsi="Times New Roman" w:cs="Times New Roman"/>
          <w:sz w:val="24"/>
          <w:szCs w:val="24"/>
        </w:rPr>
        <w:t>118/2021</w:t>
      </w:r>
      <w:r w:rsidR="00433327">
        <w:rPr>
          <w:rFonts w:ascii="Times New Roman" w:hAnsi="Times New Roman" w:cs="Times New Roman"/>
          <w:sz w:val="24"/>
          <w:szCs w:val="24"/>
        </w:rPr>
        <w:t xml:space="preserve">, 138/2022 и 118/2021-др. </w:t>
      </w:r>
      <w:proofErr w:type="spellStart"/>
      <w:r w:rsidR="0043332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33327" w:rsidRPr="00433327">
        <w:rPr>
          <w:rFonts w:ascii="Times New Roman" w:hAnsi="Times New Roman" w:cs="Times New Roman"/>
        </w:rPr>
        <w:t>)</w:t>
      </w:r>
      <w:r w:rsidRPr="004333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Упутства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припрему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36CA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пројекција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36CA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CA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финанансија</w:t>
      </w:r>
      <w:proofErr w:type="spellEnd"/>
      <w:r w:rsid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расправама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13/19)</w:t>
      </w:r>
      <w:r w:rsidR="00637525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7525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Ребалансу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F2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836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proofErr w:type="gram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36CA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E44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AF8" w:rsidRDefault="00EF1AF8" w:rsidP="0054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EF1AF8" w:rsidRDefault="00816319" w:rsidP="00EF1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E44809" w:rsidRPr="00EF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37525">
        <w:rPr>
          <w:rFonts w:ascii="Times New Roman" w:hAnsi="Times New Roman" w:cs="Times New Roman"/>
          <w:b/>
          <w:sz w:val="24"/>
          <w:szCs w:val="24"/>
        </w:rPr>
        <w:t>ОДРЖА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>НОЈ ЈАВНОЈ РАСПРАВИ</w:t>
      </w:r>
    </w:p>
    <w:p w:rsidR="00180442" w:rsidRDefault="00CA29D8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А ОДЛУКЕ О </w:t>
      </w:r>
      <w:r w:rsidR="00180442">
        <w:rPr>
          <w:rFonts w:ascii="Times New Roman" w:hAnsi="Times New Roman" w:cs="Times New Roman"/>
          <w:b/>
          <w:sz w:val="24"/>
          <w:szCs w:val="24"/>
        </w:rPr>
        <w:t xml:space="preserve">ИЗМЕНАМА И ДОПУНАМА </w:t>
      </w:r>
    </w:p>
    <w:p w:rsidR="00E44809" w:rsidRPr="00DB5466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БУЏЕТУ ОПШТИНЕ ВЛАДИЧИН ХАН ЗА 20</w:t>
      </w:r>
      <w:r w:rsidR="001D3CDE">
        <w:rPr>
          <w:rFonts w:ascii="Times New Roman" w:hAnsi="Times New Roman" w:cs="Times New Roman"/>
          <w:b/>
          <w:sz w:val="24"/>
          <w:szCs w:val="24"/>
        </w:rPr>
        <w:t>2</w:t>
      </w:r>
      <w:r w:rsidR="00E36CAB">
        <w:rPr>
          <w:rFonts w:ascii="Times New Roman" w:hAnsi="Times New Roman" w:cs="Times New Roman"/>
          <w:b/>
          <w:sz w:val="24"/>
          <w:szCs w:val="24"/>
        </w:rPr>
        <w:t>4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44809" w:rsidRPr="00F40B97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97">
        <w:rPr>
          <w:rFonts w:ascii="Times New Roman" w:hAnsi="Times New Roman" w:cs="Times New Roman"/>
          <w:b/>
          <w:sz w:val="24"/>
          <w:szCs w:val="24"/>
        </w:rPr>
        <w:t xml:space="preserve">(РЕБАЛАНС </w:t>
      </w:r>
      <w:r w:rsidR="007F2997">
        <w:rPr>
          <w:rFonts w:ascii="Times New Roman" w:hAnsi="Times New Roman" w:cs="Times New Roman"/>
          <w:b/>
          <w:sz w:val="24"/>
          <w:szCs w:val="24"/>
        </w:rPr>
        <w:t>2</w:t>
      </w:r>
      <w:r w:rsidRPr="00F40B97">
        <w:rPr>
          <w:rFonts w:ascii="Times New Roman" w:hAnsi="Times New Roman" w:cs="Times New Roman"/>
          <w:b/>
          <w:sz w:val="24"/>
          <w:szCs w:val="24"/>
        </w:rPr>
        <w:t>)</w:t>
      </w:r>
    </w:p>
    <w:p w:rsidR="00E44809" w:rsidRPr="005A6D9A" w:rsidRDefault="0007685B" w:rsidP="00E44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7685B" w:rsidRPr="004E27F9" w:rsidRDefault="0007685B" w:rsidP="00544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997">
        <w:rPr>
          <w:rFonts w:ascii="Times New Roman" w:hAnsi="Times New Roman" w:cs="Times New Roman"/>
          <w:sz w:val="24"/>
          <w:szCs w:val="24"/>
        </w:rPr>
        <w:t>среду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2997">
        <w:rPr>
          <w:rFonts w:ascii="Times New Roman" w:hAnsi="Times New Roman" w:cs="Times New Roman"/>
          <w:sz w:val="24"/>
          <w:szCs w:val="24"/>
        </w:rPr>
        <w:t>23.10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</w:rPr>
        <w:t>2</w:t>
      </w:r>
      <w:r w:rsidR="00E36C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.године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C61CC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461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r w:rsidR="00903486">
        <w:rPr>
          <w:rFonts w:ascii="Times New Roman" w:hAnsi="Times New Roman" w:cs="Times New Roman"/>
          <w:sz w:val="24"/>
          <w:szCs w:val="24"/>
        </w:rPr>
        <w:t>04.10</w:t>
      </w:r>
      <w:r w:rsidR="006D0610"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</w:rPr>
        <w:t>2</w:t>
      </w:r>
      <w:r w:rsidR="00E36CAB">
        <w:rPr>
          <w:rFonts w:ascii="Times New Roman" w:hAnsi="Times New Roman" w:cs="Times New Roman"/>
          <w:sz w:val="24"/>
          <w:szCs w:val="24"/>
        </w:rPr>
        <w:t>4</w:t>
      </w:r>
      <w:r w:rsidR="006D0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061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та</w:t>
      </w:r>
      <w:r w:rsidR="00F40B97">
        <w:rPr>
          <w:rFonts w:ascii="Times New Roman" w:hAnsi="Times New Roman" w:cs="Times New Roman"/>
          <w:sz w:val="24"/>
          <w:szCs w:val="24"/>
        </w:rPr>
        <w:t>б</w:t>
      </w:r>
      <w:r w:rsidR="0041461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CC7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C7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Хан</w:t>
      </w:r>
      <w:r w:rsidR="00C61CC7">
        <w:rPr>
          <w:rFonts w:ascii="Times New Roman" w:hAnsi="Times New Roman" w:cs="Times New Roman"/>
          <w:sz w:val="24"/>
          <w:szCs w:val="24"/>
        </w:rPr>
        <w:t>-инфо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BE8" w:rsidRDefault="00544BE8" w:rsidP="00544BE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C548E" w:rsidRDefault="00544BE8" w:rsidP="001804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7A4661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661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7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661">
        <w:rPr>
          <w:rFonts w:ascii="Times New Roman" w:hAnsi="Times New Roman" w:cs="Times New Roman"/>
          <w:sz w:val="24"/>
          <w:szCs w:val="24"/>
        </w:rPr>
        <w:t>Стевано</w:t>
      </w:r>
      <w:r w:rsidR="004E27F9">
        <w:rPr>
          <w:rFonts w:ascii="Times New Roman" w:hAnsi="Times New Roman" w:cs="Times New Roman"/>
          <w:sz w:val="24"/>
          <w:szCs w:val="24"/>
        </w:rPr>
        <w:t>вић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7A4661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7A4661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>.</w:t>
      </w:r>
    </w:p>
    <w:p w:rsidR="00522928" w:rsidRPr="00522928" w:rsidRDefault="00522928" w:rsidP="001804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Default="00180442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B7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DB0" w:rsidRDefault="00180442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Start"/>
      <w:r w:rsidR="001B7DB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proofErr w:type="gram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апропријацијама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>.</w:t>
      </w:r>
    </w:p>
    <w:p w:rsidR="00102423" w:rsidRDefault="00102423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43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увида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састанка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9034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3486"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77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Одељењ</w:t>
      </w:r>
      <w:r w:rsidR="002A774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433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BF3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корекције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иницијалног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A7741">
        <w:rPr>
          <w:rFonts w:ascii="Times New Roman" w:hAnsi="Times New Roman" w:cs="Times New Roman"/>
          <w:sz w:val="24"/>
          <w:szCs w:val="24"/>
        </w:rPr>
        <w:t>Ребаланс</w:t>
      </w:r>
      <w:proofErr w:type="spellEnd"/>
      <w:r w:rsidR="002A7741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601ABC" w:rsidRPr="002A7741" w:rsidRDefault="00601ABC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НА СТРАНИ ПРИХОДА</w:t>
      </w:r>
    </w:p>
    <w:tbl>
      <w:tblPr>
        <w:tblW w:w="8794" w:type="dxa"/>
        <w:tblInd w:w="103" w:type="dxa"/>
        <w:tblLayout w:type="fixed"/>
        <w:tblLook w:val="04A0"/>
      </w:tblPr>
      <w:tblGrid>
        <w:gridCol w:w="983"/>
        <w:gridCol w:w="4290"/>
        <w:gridCol w:w="1820"/>
        <w:gridCol w:w="1701"/>
      </w:tblGrid>
      <w:tr w:rsidR="00196541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C61EE1" w:rsidRDefault="00196541" w:rsidP="00BA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нацрту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Ребаланса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C61EE1" w:rsidRDefault="00196541" w:rsidP="00BA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након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расправе</w:t>
            </w:r>
            <w:proofErr w:type="spellEnd"/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D46E69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311712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D46E69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Пренета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намене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D46E69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32,470.000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D46E69" w:rsidRDefault="00196541" w:rsidP="00441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26,470.000</w:t>
            </w:r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D46E69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321311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D46E69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вишак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D46E69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23,260.000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D46E69" w:rsidRDefault="00196541" w:rsidP="00441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29,260.000</w:t>
            </w:r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711111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зараде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F3FF1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320,000.000</w:t>
            </w: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D46E69" w:rsidRDefault="00196541" w:rsidP="00441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321.000,000</w:t>
            </w:r>
          </w:p>
        </w:tc>
      </w:tr>
      <w:tr w:rsidR="00196541" w:rsidRPr="00EF3FF1" w:rsidTr="00196541">
        <w:trPr>
          <w:trHeight w:val="73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711121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приходе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самосталних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делатности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који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плаћа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према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стварно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оствареном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приходу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решењу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Пореске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D46E69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F3FF1" w:rsidRDefault="00196541" w:rsidP="00D46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    </w:t>
            </w:r>
          </w:p>
        </w:tc>
      </w:tr>
      <w:tr w:rsidR="00196541" w:rsidRPr="00EF3FF1" w:rsidTr="00196541">
        <w:trPr>
          <w:trHeight w:val="5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6D58BD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71114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EF3FF1" w:rsidRDefault="00196541" w:rsidP="006D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приходе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пољопривреде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шумарства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решењу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Пореске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управе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6D58BD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F3FF1" w:rsidRDefault="00196541" w:rsidP="006D5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,000      </w:t>
            </w:r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96541" w:rsidRPr="006D58BD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711147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D58BD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земљиште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6D58BD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6D58BD" w:rsidRDefault="00196541" w:rsidP="00796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4.000</w:t>
            </w:r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96541" w:rsidRPr="006D58BD" w:rsidRDefault="00196541" w:rsidP="006D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711181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D58BD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Самодопринос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зарадама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запослених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пензије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територији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6D58BD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6D58BD" w:rsidRDefault="00196541" w:rsidP="00796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5.000</w:t>
            </w:r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711191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EF3FF1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6D58BD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21.130.000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F3FF1" w:rsidRDefault="00196541" w:rsidP="006D5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  <w:r w:rsidRPr="00EF3F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0,000      </w:t>
            </w:r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EA4AF8" w:rsidRDefault="00196541" w:rsidP="00EF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711194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EA4AF8" w:rsidRDefault="00196541" w:rsidP="00EF3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одбитку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извођења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забавног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спортског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естрадног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A4AF8" w:rsidRDefault="00196541" w:rsidP="009D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A4AF8" w:rsidRDefault="00196541" w:rsidP="007964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150.000</w:t>
            </w:r>
          </w:p>
        </w:tc>
      </w:tr>
      <w:tr w:rsidR="00196541" w:rsidRPr="00EF3FF1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7C6F19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713121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7C6F19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Порез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имовину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осим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земљиште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акције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уделе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физичких</w:t>
            </w:r>
            <w:proofErr w:type="spellEnd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F19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7C6F19" w:rsidRDefault="00196541" w:rsidP="00EA4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             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  <w:r w:rsidRPr="007C6F1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EA4AF8" w:rsidRDefault="00196541" w:rsidP="009D0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13,260.000</w:t>
            </w:r>
          </w:p>
        </w:tc>
      </w:tr>
      <w:tr w:rsidR="00196541" w:rsidRPr="007C6F19" w:rsidTr="00196541">
        <w:trPr>
          <w:trHeight w:val="5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2D18D8" w:rsidRDefault="00196541" w:rsidP="002D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776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2D18D8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Посебна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накнада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средине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2D18D8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2D18D8" w:rsidRDefault="00196541" w:rsidP="009D01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4,000.000</w:t>
            </w:r>
          </w:p>
        </w:tc>
      </w:tr>
      <w:tr w:rsidR="00196541" w:rsidRPr="007C6F19" w:rsidTr="00196541">
        <w:trPr>
          <w:trHeight w:val="5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2D18D8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733251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2D18D8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Капитални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трансфери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2D18D8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2D18D8" w:rsidRDefault="00196541" w:rsidP="007D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12,800.000</w:t>
            </w:r>
          </w:p>
        </w:tc>
      </w:tr>
      <w:tr w:rsidR="00196541" w:rsidRPr="007C6F19" w:rsidTr="00196541">
        <w:trPr>
          <w:trHeight w:val="5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2D18D8" w:rsidRDefault="00196541" w:rsidP="002D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EE">
              <w:rPr>
                <w:rFonts w:ascii="Times New Roman" w:hAnsi="Times New Roman" w:cs="Times New Roman"/>
                <w:sz w:val="20"/>
                <w:szCs w:val="20"/>
              </w:rPr>
              <w:t>7415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2D18D8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остварена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2D18D8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2D18D8" w:rsidRDefault="00196541" w:rsidP="007D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4,250.000</w:t>
            </w:r>
          </w:p>
        </w:tc>
      </w:tr>
      <w:tr w:rsidR="00196541" w:rsidRPr="002776EE" w:rsidTr="00196541">
        <w:trPr>
          <w:trHeight w:val="8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64470F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742152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4470F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Приходи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давања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закуп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односно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непокретности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државној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својини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општине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индиректни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њиховог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</w:t>
            </w:r>
          </w:p>
        </w:tc>
      </w:tr>
      <w:tr w:rsidR="00196541" w:rsidRPr="002776EE" w:rsidTr="00196541">
        <w:trPr>
          <w:trHeight w:val="73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64470F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742153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4470F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Приходи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закупнине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грађевинско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земљиште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корист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нивоа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1D63B6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63B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1D63B6" w:rsidRDefault="00196541" w:rsidP="00B409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3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130,000</w:t>
            </w:r>
            <w:r w:rsidRPr="001D63B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196541" w:rsidRPr="002776EE" w:rsidTr="00196541">
        <w:trPr>
          <w:trHeight w:val="109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64470F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742155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4470F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Приходи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давања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закуп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односно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коришћење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непокретности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општинској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својини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користе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општине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индиректни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њиховог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1D63B6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3,600.000</w:t>
            </w:r>
            <w:r w:rsidRPr="001D63B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1D63B6" w:rsidRDefault="00196541" w:rsidP="00B409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6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  <w:r w:rsidRPr="001D63B6">
              <w:rPr>
                <w:rFonts w:ascii="Times New Roman" w:hAnsi="Times New Roman" w:cs="Times New Roman"/>
                <w:sz w:val="20"/>
                <w:szCs w:val="20"/>
              </w:rPr>
              <w:t xml:space="preserve">0,000      </w:t>
            </w:r>
          </w:p>
        </w:tc>
      </w:tr>
      <w:tr w:rsidR="00196541" w:rsidRPr="002776EE" w:rsidTr="00196541">
        <w:trPr>
          <w:trHeight w:val="5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64470F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742156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4470F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Приходи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остварени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пружања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боравка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деце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предшколским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установама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корист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нивоа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општине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9,000.000</w:t>
            </w:r>
          </w:p>
        </w:tc>
      </w:tr>
      <w:tr w:rsidR="00196541" w:rsidRPr="002776EE" w:rsidTr="00196541">
        <w:trPr>
          <w:trHeight w:val="5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6541" w:rsidRPr="0064470F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742251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4470F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Општинске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административне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таксе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 w:rsidP="00B409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1,800,000</w:t>
            </w:r>
          </w:p>
        </w:tc>
      </w:tr>
      <w:tr w:rsidR="00196541" w:rsidRPr="002776EE" w:rsidTr="00196541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96541" w:rsidRPr="0064470F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742351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64470F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Приходи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својом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делатношћу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остваре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70F">
              <w:rPr>
                <w:rFonts w:ascii="Times New Roman" w:hAnsi="Times New Roman" w:cs="Times New Roman"/>
                <w:sz w:val="20"/>
                <w:szCs w:val="20"/>
              </w:rPr>
              <w:t>Општине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Pr="00B40921" w:rsidRDefault="001965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1,540.000</w:t>
            </w:r>
          </w:p>
        </w:tc>
      </w:tr>
      <w:tr w:rsidR="00196541" w:rsidRPr="002776EE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96541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812151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196541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продаје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покретне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имовине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Default="00601A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Default="00601A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196541" w:rsidRPr="002776EE" w:rsidTr="00196541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196541" w:rsidRPr="00196541" w:rsidRDefault="0019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841151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41" w:rsidRPr="00196541" w:rsidRDefault="00196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Примања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продаје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Default="00601A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41" w:rsidRDefault="00601A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</w:tr>
    </w:tbl>
    <w:p w:rsidR="00B40921" w:rsidRDefault="00B40921" w:rsidP="00D14EC5">
      <w:pPr>
        <w:pStyle w:val="v1v1msonormal"/>
        <w:shd w:val="clear" w:color="auto" w:fill="FFFFFF"/>
        <w:spacing w:before="0" w:beforeAutospacing="0" w:after="0" w:afterAutospacing="0"/>
        <w:jc w:val="both"/>
      </w:pPr>
    </w:p>
    <w:p w:rsidR="00B40921" w:rsidRDefault="00601ABC" w:rsidP="00D14EC5">
      <w:pPr>
        <w:pStyle w:val="v1v1msonormal"/>
        <w:shd w:val="clear" w:color="auto" w:fill="FFFFFF"/>
        <w:spacing w:before="0" w:beforeAutospacing="0" w:after="0" w:afterAutospacing="0"/>
        <w:jc w:val="both"/>
      </w:pP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</w:t>
      </w:r>
      <w:proofErr w:type="spellStart"/>
      <w:r>
        <w:t>прихода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коначан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1,028,000.000,00 </w:t>
      </w:r>
      <w:proofErr w:type="spellStart"/>
      <w:r>
        <w:t>динара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1,048.200.000,00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садржао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ребалансу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.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 </w:t>
      </w:r>
      <w:proofErr w:type="spellStart"/>
      <w:r>
        <w:t>умањењу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чињеница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очекивана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продаје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динамици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вероватна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>.</w:t>
      </w:r>
    </w:p>
    <w:p w:rsidR="00125394" w:rsidRDefault="00125394" w:rsidP="00D14EC5">
      <w:pPr>
        <w:pStyle w:val="v1v1msonormal"/>
        <w:shd w:val="clear" w:color="auto" w:fill="FFFFFF"/>
        <w:spacing w:before="0" w:beforeAutospacing="0" w:after="0" w:afterAutospacing="0"/>
        <w:jc w:val="both"/>
      </w:pPr>
    </w:p>
    <w:p w:rsidR="00125394" w:rsidRDefault="00125394" w:rsidP="00125394">
      <w:pPr>
        <w:pStyle w:val="v1v1msonormal"/>
        <w:shd w:val="clear" w:color="auto" w:fill="FFFFFF"/>
        <w:spacing w:before="0" w:beforeAutospacing="0" w:after="0" w:afterAutospacing="0"/>
        <w:jc w:val="center"/>
      </w:pPr>
      <w:r>
        <w:t xml:space="preserve">4. </w:t>
      </w:r>
    </w:p>
    <w:p w:rsidR="00125394" w:rsidRDefault="00125394" w:rsidP="0012539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усаглашеним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кориговане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пролонгиран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F0B" w:rsidRDefault="00401F0B" w:rsidP="001253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апропријација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</w:p>
    <w:tbl>
      <w:tblPr>
        <w:tblW w:w="8936" w:type="dxa"/>
        <w:tblInd w:w="103" w:type="dxa"/>
        <w:tblLook w:val="04A0"/>
      </w:tblPr>
      <w:tblGrid>
        <w:gridCol w:w="800"/>
        <w:gridCol w:w="3741"/>
        <w:gridCol w:w="2268"/>
        <w:gridCol w:w="2127"/>
      </w:tblGrid>
      <w:tr w:rsidR="00401F0B" w:rsidRPr="00401F0B" w:rsidTr="00401F0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Корисник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нацрту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одржаној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јавној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расправи</w:t>
            </w:r>
            <w:proofErr w:type="spellEnd"/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Скупштина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10,700,000.00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10,280,000.00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Општинско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Веће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8,250,000.00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Председник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10,700,000.00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10,740,000.00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Јавно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правобранилаштво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3,500,000.00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Општинска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811,950,000.00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792,110,000.00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Пчелица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126,800,000.00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126,800,000.00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УСЦ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Куњак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32,590,000.00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32,760,000.00</w:t>
            </w:r>
          </w:p>
        </w:tc>
      </w:tr>
      <w:tr w:rsidR="00401F0B" w:rsidRPr="00401F0B" w:rsidTr="00401F0B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Центар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културне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делатности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туризам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библиотекарство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40,480,000.00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40,580,000.00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Месне</w:t>
            </w:r>
            <w:proofErr w:type="spellEnd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заједнице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2,980,000.00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2,980,000.00</w:t>
            </w:r>
          </w:p>
        </w:tc>
      </w:tr>
      <w:tr w:rsidR="00401F0B" w:rsidRPr="00401F0B" w:rsidTr="00401F0B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УКУПНО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1,048,200,000.00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F0B" w:rsidRPr="00401F0B" w:rsidRDefault="00401F0B" w:rsidP="00401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1,028,000,000.00</w:t>
            </w:r>
          </w:p>
        </w:tc>
      </w:tr>
    </w:tbl>
    <w:p w:rsidR="004E457A" w:rsidRPr="004E457A" w:rsidRDefault="004E457A" w:rsidP="004E457A">
      <w:pPr>
        <w:spacing w:after="0"/>
        <w:jc w:val="both"/>
        <w:rPr>
          <w:rFonts w:ascii="Times New Roman" w:hAnsi="Times New Roman" w:cs="Times New Roman"/>
        </w:rPr>
      </w:pPr>
    </w:p>
    <w:p w:rsidR="00F53BC2" w:rsidRDefault="00F53BC2" w:rsidP="00F53BC2">
      <w:pPr>
        <w:pStyle w:val="v1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2E74B5"/>
          <w:sz w:val="22"/>
          <w:szCs w:val="22"/>
        </w:rPr>
        <w:t> </w:t>
      </w:r>
    </w:p>
    <w:p w:rsidR="001B7DB0" w:rsidRDefault="004F6E42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7DB0">
        <w:rPr>
          <w:rFonts w:ascii="Times New Roman" w:hAnsi="Times New Roman" w:cs="Times New Roman"/>
          <w:sz w:val="24"/>
          <w:szCs w:val="24"/>
        </w:rPr>
        <w:t>.</w:t>
      </w:r>
    </w:p>
    <w:p w:rsidR="000B0EC8" w:rsidRPr="001A3049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49">
        <w:rPr>
          <w:rFonts w:ascii="Times New Roman" w:hAnsi="Times New Roman" w:cs="Times New Roman"/>
          <w:sz w:val="24"/>
          <w:szCs w:val="24"/>
        </w:rPr>
        <w:t>19</w:t>
      </w:r>
      <w:r w:rsidR="0052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proofErr w:type="gramStart"/>
      <w:r w:rsidR="0069008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proofErr w:type="gram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D3CD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НВО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представник</w:t>
      </w:r>
      <w:r w:rsidR="00C37EE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EC8" w:rsidRPr="003A7CAC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9A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A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0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9A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CAC">
        <w:rPr>
          <w:rFonts w:ascii="Times New Roman" w:hAnsi="Times New Roman" w:cs="Times New Roman"/>
          <w:sz w:val="24"/>
          <w:szCs w:val="24"/>
        </w:rPr>
        <w:t>завршној</w:t>
      </w:r>
      <w:proofErr w:type="spellEnd"/>
      <w:r w:rsidR="003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0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</w:t>
      </w:r>
      <w:r w:rsidR="00283CBD">
        <w:rPr>
          <w:rFonts w:ascii="Times New Roman" w:hAnsi="Times New Roman" w:cs="Times New Roman"/>
          <w:sz w:val="24"/>
          <w:szCs w:val="24"/>
        </w:rPr>
        <w:t>уџета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20</w:t>
      </w:r>
      <w:r w:rsidR="00C37EEF">
        <w:rPr>
          <w:rFonts w:ascii="Times New Roman" w:hAnsi="Times New Roman" w:cs="Times New Roman"/>
          <w:sz w:val="24"/>
          <w:szCs w:val="24"/>
        </w:rPr>
        <w:t>2</w:t>
      </w:r>
      <w:r w:rsidR="00522928">
        <w:rPr>
          <w:rFonts w:ascii="Times New Roman" w:hAnsi="Times New Roman" w:cs="Times New Roman"/>
          <w:sz w:val="24"/>
          <w:szCs w:val="24"/>
        </w:rPr>
        <w:t>4</w:t>
      </w:r>
      <w:r w:rsidR="00283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C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22928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="0052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28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="0052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28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="0052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28">
        <w:rPr>
          <w:rFonts w:ascii="Times New Roman" w:hAnsi="Times New Roman" w:cs="Times New Roman"/>
          <w:sz w:val="24"/>
          <w:szCs w:val="24"/>
        </w:rPr>
        <w:t>корекцијама</w:t>
      </w:r>
      <w:proofErr w:type="spellEnd"/>
      <w:r w:rsidR="003A7CAC">
        <w:rPr>
          <w:rFonts w:ascii="Times New Roman" w:hAnsi="Times New Roman" w:cs="Times New Roman"/>
          <w:sz w:val="24"/>
          <w:szCs w:val="24"/>
        </w:rPr>
        <w:t>.</w:t>
      </w:r>
    </w:p>
    <w:p w:rsidR="00BB247A" w:rsidRPr="00690088" w:rsidRDefault="0069008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088" w:rsidRDefault="00C37EEF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4E27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7525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 Општинском већу Општине Владичин Хан.</w:t>
      </w:r>
      <w:r w:rsidR="00645EA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9A450E" w:rsidRDefault="009A450E" w:rsidP="009A45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</w:t>
      </w:r>
      <w:r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9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7CAC" w:rsidRDefault="003A7CAC" w:rsidP="009A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CAC" w:rsidRPr="003A7CAC" w:rsidRDefault="003A7CAC" w:rsidP="009A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EA9" w:rsidRDefault="00690088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5416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="0065416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 Извештај сачини</w:t>
      </w:r>
      <w:proofErr w:type="spellStart"/>
      <w:r w:rsidR="003A7CAC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65416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____________________________</w:t>
      </w:r>
    </w:p>
    <w:p w:rsidR="00CC04C2" w:rsidRDefault="00496C49"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Невена </w:t>
      </w:r>
      <w:r w:rsidR="003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CAC">
        <w:rPr>
          <w:rFonts w:ascii="Times New Roman" w:hAnsi="Times New Roman" w:cs="Times New Roman"/>
          <w:sz w:val="24"/>
          <w:szCs w:val="24"/>
        </w:rPr>
        <w:t>Милосавље</w:t>
      </w:r>
      <w:r w:rsidR="00645EA9">
        <w:rPr>
          <w:rFonts w:ascii="Times New Roman" w:hAnsi="Times New Roman" w:cs="Times New Roman"/>
          <w:sz w:val="24"/>
          <w:szCs w:val="24"/>
          <w:lang w:val="sr-Cyrl-CS"/>
        </w:rPr>
        <w:t>вић</w:t>
      </w:r>
      <w:proofErr w:type="spellEnd"/>
    </w:p>
    <w:sectPr w:rsidR="00CC04C2" w:rsidSect="00CC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331BA"/>
    <w:rsid w:val="000527D3"/>
    <w:rsid w:val="000709B7"/>
    <w:rsid w:val="0007356F"/>
    <w:rsid w:val="0007685B"/>
    <w:rsid w:val="000978A4"/>
    <w:rsid w:val="000B0EC8"/>
    <w:rsid w:val="000B18B2"/>
    <w:rsid w:val="000E011E"/>
    <w:rsid w:val="000F2E3B"/>
    <w:rsid w:val="00102423"/>
    <w:rsid w:val="0010448A"/>
    <w:rsid w:val="0011189F"/>
    <w:rsid w:val="00125394"/>
    <w:rsid w:val="00180442"/>
    <w:rsid w:val="00196541"/>
    <w:rsid w:val="001A3049"/>
    <w:rsid w:val="001B7DB0"/>
    <w:rsid w:val="001C3904"/>
    <w:rsid w:val="001D3CDE"/>
    <w:rsid w:val="001D63B6"/>
    <w:rsid w:val="001F6D1A"/>
    <w:rsid w:val="002176C0"/>
    <w:rsid w:val="002776EE"/>
    <w:rsid w:val="00283CBD"/>
    <w:rsid w:val="0029750F"/>
    <w:rsid w:val="002A7741"/>
    <w:rsid w:val="002B496E"/>
    <w:rsid w:val="002D17AD"/>
    <w:rsid w:val="002D18D8"/>
    <w:rsid w:val="002E0C42"/>
    <w:rsid w:val="002F7BC1"/>
    <w:rsid w:val="00316B42"/>
    <w:rsid w:val="00317B40"/>
    <w:rsid w:val="0033570D"/>
    <w:rsid w:val="00337C8A"/>
    <w:rsid w:val="00343C1B"/>
    <w:rsid w:val="00343F4E"/>
    <w:rsid w:val="00377400"/>
    <w:rsid w:val="0038534D"/>
    <w:rsid w:val="003A7CAC"/>
    <w:rsid w:val="003C1D77"/>
    <w:rsid w:val="003D5C98"/>
    <w:rsid w:val="003D6354"/>
    <w:rsid w:val="00401F0B"/>
    <w:rsid w:val="00411B69"/>
    <w:rsid w:val="0041461F"/>
    <w:rsid w:val="00433327"/>
    <w:rsid w:val="00441623"/>
    <w:rsid w:val="004513AD"/>
    <w:rsid w:val="004609AB"/>
    <w:rsid w:val="00471DA5"/>
    <w:rsid w:val="004722A4"/>
    <w:rsid w:val="00496C49"/>
    <w:rsid w:val="00496E5F"/>
    <w:rsid w:val="004B73B1"/>
    <w:rsid w:val="004C1F07"/>
    <w:rsid w:val="004D2C82"/>
    <w:rsid w:val="004D5FD4"/>
    <w:rsid w:val="004E27F9"/>
    <w:rsid w:val="004E457A"/>
    <w:rsid w:val="004E6495"/>
    <w:rsid w:val="004E6BF5"/>
    <w:rsid w:val="004F6E42"/>
    <w:rsid w:val="00522928"/>
    <w:rsid w:val="00544BE8"/>
    <w:rsid w:val="00550388"/>
    <w:rsid w:val="0056466F"/>
    <w:rsid w:val="005A5495"/>
    <w:rsid w:val="005A5D91"/>
    <w:rsid w:val="005A6D9A"/>
    <w:rsid w:val="005B2AD4"/>
    <w:rsid w:val="005C341F"/>
    <w:rsid w:val="005C6750"/>
    <w:rsid w:val="005C7580"/>
    <w:rsid w:val="005D62B2"/>
    <w:rsid w:val="005F2B77"/>
    <w:rsid w:val="005F2E10"/>
    <w:rsid w:val="00601ABC"/>
    <w:rsid w:val="00607F2E"/>
    <w:rsid w:val="00613023"/>
    <w:rsid w:val="006321CA"/>
    <w:rsid w:val="00637525"/>
    <w:rsid w:val="00643E9F"/>
    <w:rsid w:val="0064470F"/>
    <w:rsid w:val="00645EA9"/>
    <w:rsid w:val="00654165"/>
    <w:rsid w:val="00662B15"/>
    <w:rsid w:val="00663BBB"/>
    <w:rsid w:val="00666BE2"/>
    <w:rsid w:val="00690088"/>
    <w:rsid w:val="00693AAB"/>
    <w:rsid w:val="006D0610"/>
    <w:rsid w:val="006D58BD"/>
    <w:rsid w:val="006F5543"/>
    <w:rsid w:val="00766FED"/>
    <w:rsid w:val="00770032"/>
    <w:rsid w:val="00787484"/>
    <w:rsid w:val="0079643D"/>
    <w:rsid w:val="007A4661"/>
    <w:rsid w:val="007C548E"/>
    <w:rsid w:val="007C6F19"/>
    <w:rsid w:val="007D2C6A"/>
    <w:rsid w:val="007E753E"/>
    <w:rsid w:val="007F2997"/>
    <w:rsid w:val="007F4783"/>
    <w:rsid w:val="00807B78"/>
    <w:rsid w:val="00816319"/>
    <w:rsid w:val="0082651A"/>
    <w:rsid w:val="00836F3C"/>
    <w:rsid w:val="00870091"/>
    <w:rsid w:val="008A1838"/>
    <w:rsid w:val="008A4B1D"/>
    <w:rsid w:val="008B2D1B"/>
    <w:rsid w:val="008B32EB"/>
    <w:rsid w:val="008B7AC8"/>
    <w:rsid w:val="00903486"/>
    <w:rsid w:val="00913DEF"/>
    <w:rsid w:val="00916F0C"/>
    <w:rsid w:val="00931876"/>
    <w:rsid w:val="0099262D"/>
    <w:rsid w:val="009A2166"/>
    <w:rsid w:val="009A450E"/>
    <w:rsid w:val="009A75CF"/>
    <w:rsid w:val="009B3BFF"/>
    <w:rsid w:val="009B4A93"/>
    <w:rsid w:val="009C02D1"/>
    <w:rsid w:val="00A70DFE"/>
    <w:rsid w:val="00AD2F7F"/>
    <w:rsid w:val="00B063AB"/>
    <w:rsid w:val="00B40921"/>
    <w:rsid w:val="00B95D49"/>
    <w:rsid w:val="00BA6702"/>
    <w:rsid w:val="00BB247A"/>
    <w:rsid w:val="00BB53F9"/>
    <w:rsid w:val="00BB6E5F"/>
    <w:rsid w:val="00BC5B33"/>
    <w:rsid w:val="00BF3433"/>
    <w:rsid w:val="00C17579"/>
    <w:rsid w:val="00C213A0"/>
    <w:rsid w:val="00C22BB4"/>
    <w:rsid w:val="00C37EEF"/>
    <w:rsid w:val="00C42505"/>
    <w:rsid w:val="00C457CE"/>
    <w:rsid w:val="00C533B6"/>
    <w:rsid w:val="00C61CC7"/>
    <w:rsid w:val="00C61EE1"/>
    <w:rsid w:val="00CA29D8"/>
    <w:rsid w:val="00CA2D69"/>
    <w:rsid w:val="00CC04C2"/>
    <w:rsid w:val="00D00DB6"/>
    <w:rsid w:val="00D014BA"/>
    <w:rsid w:val="00D107E3"/>
    <w:rsid w:val="00D114E2"/>
    <w:rsid w:val="00D14EC5"/>
    <w:rsid w:val="00D21D8E"/>
    <w:rsid w:val="00D46E69"/>
    <w:rsid w:val="00D549C5"/>
    <w:rsid w:val="00D84A0D"/>
    <w:rsid w:val="00D928EA"/>
    <w:rsid w:val="00DB20F4"/>
    <w:rsid w:val="00DB5466"/>
    <w:rsid w:val="00DB63D1"/>
    <w:rsid w:val="00DC38C1"/>
    <w:rsid w:val="00DC7F24"/>
    <w:rsid w:val="00DD7C4E"/>
    <w:rsid w:val="00DF1C08"/>
    <w:rsid w:val="00E00855"/>
    <w:rsid w:val="00E07DCE"/>
    <w:rsid w:val="00E20F0D"/>
    <w:rsid w:val="00E275AF"/>
    <w:rsid w:val="00E3674E"/>
    <w:rsid w:val="00E36CAB"/>
    <w:rsid w:val="00E436F9"/>
    <w:rsid w:val="00E44809"/>
    <w:rsid w:val="00E73F4F"/>
    <w:rsid w:val="00EA4AF8"/>
    <w:rsid w:val="00EF144E"/>
    <w:rsid w:val="00EF1AF8"/>
    <w:rsid w:val="00EF3FF1"/>
    <w:rsid w:val="00EF479C"/>
    <w:rsid w:val="00F40B97"/>
    <w:rsid w:val="00F45B30"/>
    <w:rsid w:val="00F52CEB"/>
    <w:rsid w:val="00F53BC2"/>
    <w:rsid w:val="00FE10C5"/>
    <w:rsid w:val="00FF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v1v1msonormal">
    <w:name w:val="v1v1msonormal"/>
    <w:basedOn w:val="Normal"/>
    <w:rsid w:val="00F5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E38-32C5-41D9-A31C-C13E63F3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2</cp:revision>
  <cp:lastPrinted>2023-07-18T06:06:00Z</cp:lastPrinted>
  <dcterms:created xsi:type="dcterms:W3CDTF">2024-12-05T09:03:00Z</dcterms:created>
  <dcterms:modified xsi:type="dcterms:W3CDTF">2024-12-05T09:03:00Z</dcterms:modified>
</cp:coreProperties>
</file>